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B20" w:rsidRDefault="007E0B20" w:rsidP="007E0B20">
      <w:pPr>
        <w:suppressLineNumbers/>
        <w:rPr>
          <w:rFonts w:hint="cs"/>
          <w:sz w:val="26"/>
          <w:szCs w:val="26"/>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E0B20" w:rsidTr="007E0B20">
        <w:trPr>
          <w:jc w:val="center"/>
        </w:trPr>
        <w:tc>
          <w:tcPr>
            <w:tcW w:w="743" w:type="dxa"/>
            <w:hideMark/>
          </w:tcPr>
          <w:p w:rsidR="007E0B20" w:rsidRDefault="007E0B20">
            <w:pPr>
              <w:jc w:val="both"/>
              <w:rPr>
                <w:rFonts w:ascii="Arial (W1)" w:hAnsi="Arial (W1)"/>
                <w:b/>
                <w:bCs/>
                <w:sz w:val="28"/>
                <w:szCs w:val="28"/>
              </w:rPr>
            </w:pPr>
            <w:r>
              <w:rPr>
                <w:b/>
                <w:bCs/>
                <w:sz w:val="28"/>
                <w:rtl/>
              </w:rPr>
              <w:t xml:space="preserve">לפני </w:t>
            </w:r>
          </w:p>
        </w:tc>
        <w:tc>
          <w:tcPr>
            <w:tcW w:w="8077" w:type="dxa"/>
            <w:gridSpan w:val="2"/>
            <w:hideMark/>
          </w:tcPr>
          <w:p w:rsidR="007E0B20" w:rsidRDefault="007E0B20">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7E0B20" w:rsidTr="007E0B20">
        <w:trPr>
          <w:jc w:val="center"/>
        </w:trPr>
        <w:tc>
          <w:tcPr>
            <w:tcW w:w="3249" w:type="dxa"/>
            <w:gridSpan w:val="2"/>
          </w:tcPr>
          <w:p w:rsidR="007E0B20" w:rsidRDefault="007E0B20">
            <w:pPr>
              <w:bidi w:val="0"/>
              <w:rPr>
                <w:rFonts w:ascii="Arial (W1)" w:hAnsi="Arial (W1)"/>
                <w:b/>
                <w:bCs/>
                <w:noProof w:val="0"/>
                <w:sz w:val="28"/>
                <w:szCs w:val="28"/>
                <w:rtl/>
              </w:rPr>
            </w:pPr>
          </w:p>
          <w:sdt>
            <w:sdtPr>
              <w:rPr>
                <w:rtl/>
              </w:rPr>
              <w:alias w:val="1180"/>
              <w:tag w:val="1180"/>
              <w:id w:val="-803768281"/>
              <w:text w:multiLine="1"/>
            </w:sdtPr>
            <w:sdtEndPr/>
            <w:sdtContent>
              <w:p w:rsidR="007E0B20" w:rsidRDefault="007E0B20">
                <w:pPr>
                  <w:rPr>
                    <w:rFonts w:ascii="Arial (W1)" w:hAnsi="Arial (W1)"/>
                    <w:b/>
                    <w:bCs/>
                    <w:noProof w:val="0"/>
                    <w:sz w:val="28"/>
                    <w:szCs w:val="28"/>
                    <w:rtl/>
                  </w:rPr>
                </w:pPr>
                <w:r>
                  <w:rPr>
                    <w:b/>
                    <w:bCs/>
                    <w:noProof w:val="0"/>
                    <w:sz w:val="28"/>
                    <w:rtl/>
                  </w:rPr>
                  <w:t>המערערים</w:t>
                </w:r>
              </w:p>
            </w:sdtContent>
          </w:sdt>
        </w:tc>
        <w:tc>
          <w:tcPr>
            <w:tcW w:w="5571" w:type="dxa"/>
          </w:tcPr>
          <w:p w:rsidR="007E0B20" w:rsidRDefault="007E0B20">
            <w:pPr>
              <w:rPr>
                <w:rFonts w:ascii="Arial (W1)" w:hAnsi="Arial (W1)"/>
                <w:b/>
                <w:bCs/>
                <w:noProof w:val="0"/>
                <w:sz w:val="28"/>
                <w:szCs w:val="28"/>
              </w:rPr>
            </w:pPr>
          </w:p>
          <w:p w:rsidR="007E0B20" w:rsidRDefault="007E0B20">
            <w:pPr>
              <w:rPr>
                <w:b/>
                <w:bCs/>
                <w:noProof w:val="0"/>
                <w:sz w:val="28"/>
                <w:rtl/>
              </w:rPr>
            </w:pPr>
            <w:r>
              <w:rPr>
                <w:b/>
                <w:bCs/>
                <w:noProof w:val="0"/>
                <w:sz w:val="28"/>
                <w:rtl/>
              </w:rPr>
              <w:t>המוסד לביטוח לאומי</w:t>
            </w:r>
          </w:p>
          <w:p w:rsidR="007E0B20" w:rsidRDefault="007E0B20">
            <w:pPr>
              <w:rPr>
                <w:rFonts w:ascii="Arial (W1)" w:hAnsi="Arial (W1)"/>
                <w:b/>
                <w:bCs/>
                <w:noProof w:val="0"/>
                <w:rtl/>
              </w:rPr>
            </w:pPr>
            <w:r>
              <w:rPr>
                <w:rFonts w:ascii="Arial" w:hAnsi="Arial"/>
                <w:b/>
                <w:bCs/>
                <w:noProof w:val="0"/>
                <w:rtl/>
              </w:rPr>
              <w:t>ע"י ב"כ עוה"ד</w:t>
            </w:r>
            <w:r>
              <w:rPr>
                <w:rFonts w:ascii="Arial (W1)" w:hAnsi="Arial (W1)"/>
                <w:b/>
                <w:bCs/>
                <w:noProof w:val="0"/>
                <w:rtl/>
              </w:rPr>
              <w:t xml:space="preserve"> אדוה אפרת בוזנח ויהודה אדרעי</w:t>
            </w:r>
          </w:p>
        </w:tc>
      </w:tr>
      <w:tr w:rsidR="007E0B20" w:rsidTr="007E0B20">
        <w:trPr>
          <w:jc w:val="center"/>
        </w:trPr>
        <w:tc>
          <w:tcPr>
            <w:tcW w:w="8820" w:type="dxa"/>
            <w:gridSpan w:val="3"/>
          </w:tcPr>
          <w:p w:rsidR="007E0B20" w:rsidRDefault="007E0B20">
            <w:pPr>
              <w:rPr>
                <w:rFonts w:ascii="Arial (W1)" w:hAnsi="Arial (W1)"/>
                <w:b/>
                <w:bCs/>
                <w:noProof w:val="0"/>
                <w:sz w:val="28"/>
                <w:szCs w:val="28"/>
              </w:rPr>
            </w:pPr>
          </w:p>
          <w:p w:rsidR="007E0B20" w:rsidRDefault="007E0B20">
            <w:pPr>
              <w:jc w:val="center"/>
              <w:rPr>
                <w:b/>
                <w:bCs/>
                <w:noProof w:val="0"/>
                <w:sz w:val="28"/>
                <w:rtl/>
              </w:rPr>
            </w:pPr>
            <w:r>
              <w:rPr>
                <w:b/>
                <w:bCs/>
                <w:noProof w:val="0"/>
                <w:sz w:val="28"/>
                <w:rtl/>
              </w:rPr>
              <w:t>נגד</w:t>
            </w:r>
          </w:p>
          <w:p w:rsidR="007E0B20" w:rsidRDefault="007E0B20">
            <w:pPr>
              <w:rPr>
                <w:rFonts w:ascii="Arial (W1)" w:hAnsi="Arial (W1)"/>
                <w:b/>
                <w:bCs/>
                <w:noProof w:val="0"/>
                <w:sz w:val="28"/>
                <w:szCs w:val="28"/>
                <w:rtl/>
              </w:rPr>
            </w:pPr>
          </w:p>
        </w:tc>
      </w:tr>
      <w:tr w:rsidR="007E0B20" w:rsidTr="007E0B20">
        <w:trPr>
          <w:jc w:val="center"/>
        </w:trPr>
        <w:tc>
          <w:tcPr>
            <w:tcW w:w="3249" w:type="dxa"/>
            <w:gridSpan w:val="2"/>
          </w:tcPr>
          <w:p w:rsidR="007E0B20" w:rsidRDefault="007E0B20">
            <w:pPr>
              <w:rPr>
                <w:rFonts w:ascii="Arial (W1)" w:hAnsi="Arial (W1)"/>
                <w:b/>
                <w:bCs/>
                <w:noProof w:val="0"/>
                <w:sz w:val="28"/>
                <w:szCs w:val="28"/>
              </w:rPr>
            </w:pPr>
          </w:p>
          <w:p w:rsidR="007E0B20" w:rsidRDefault="00B5611E">
            <w:pPr>
              <w:rPr>
                <w:rFonts w:ascii="Arial (W1)" w:hAnsi="Arial (W1)"/>
                <w:b/>
                <w:bCs/>
                <w:noProof w:val="0"/>
                <w:sz w:val="28"/>
                <w:szCs w:val="28"/>
                <w:rtl/>
              </w:rPr>
            </w:pPr>
            <w:sdt>
              <w:sdtPr>
                <w:rPr>
                  <w:rtl/>
                </w:rPr>
                <w:alias w:val="1184"/>
                <w:tag w:val="1184"/>
                <w:id w:val="-910234160"/>
                <w:text w:multiLine="1"/>
              </w:sdtPr>
              <w:sdtEndPr/>
              <w:sdtContent>
                <w:r w:rsidR="007E0B20">
                  <w:rPr>
                    <w:b/>
                    <w:bCs/>
                    <w:noProof w:val="0"/>
                    <w:sz w:val="28"/>
                    <w:rtl/>
                  </w:rPr>
                  <w:t>המשיב</w:t>
                </w:r>
              </w:sdtContent>
            </w:sdt>
          </w:p>
        </w:tc>
        <w:tc>
          <w:tcPr>
            <w:tcW w:w="5571" w:type="dxa"/>
          </w:tcPr>
          <w:p w:rsidR="007E0B20" w:rsidRDefault="007E0B20">
            <w:pPr>
              <w:rPr>
                <w:rFonts w:ascii="Arial (W1)" w:hAnsi="Arial (W1)"/>
                <w:b/>
                <w:bCs/>
                <w:noProof w:val="0"/>
                <w:sz w:val="28"/>
                <w:szCs w:val="28"/>
              </w:rPr>
            </w:pPr>
          </w:p>
          <w:p w:rsidR="007E0B20" w:rsidRDefault="00B5611E" w:rsidP="00F41625">
            <w:pPr>
              <w:rPr>
                <w:rFonts w:ascii="Arial (W1)" w:hAnsi="Arial (W1)"/>
                <w:b/>
                <w:bCs/>
                <w:noProof w:val="0"/>
                <w:sz w:val="28"/>
                <w:szCs w:val="28"/>
                <w:rtl/>
              </w:rPr>
            </w:pPr>
            <w:sdt>
              <w:sdtPr>
                <w:rPr>
                  <w:b/>
                  <w:bCs/>
                  <w:noProof w:val="0"/>
                  <w:sz w:val="28"/>
                  <w:rtl/>
                </w:rPr>
                <w:alias w:val="1486"/>
                <w:tag w:val="1486"/>
                <w:id w:val="1487590763"/>
                <w:text w:multiLine="1"/>
              </w:sdtPr>
              <w:sdtEndPr/>
              <w:sdtContent>
                <w:r w:rsidR="00F41625">
                  <w:rPr>
                    <w:b/>
                    <w:bCs/>
                    <w:noProof w:val="0"/>
                    <w:sz w:val="28"/>
                    <w:rtl/>
                  </w:rPr>
                  <w:t>י</w:t>
                </w:r>
                <w:r w:rsidR="00F41625">
                  <w:rPr>
                    <w:rFonts w:hint="cs"/>
                    <w:b/>
                    <w:bCs/>
                    <w:noProof w:val="0"/>
                    <w:sz w:val="28"/>
                    <w:rtl/>
                  </w:rPr>
                  <w:t>.צ.ב.</w:t>
                </w:r>
              </w:sdtContent>
            </w:sdt>
            <w:r w:rsidR="007E0B20">
              <w:rPr>
                <w:b/>
                <w:bCs/>
                <w:noProof w:val="0"/>
                <w:sz w:val="28"/>
                <w:rtl/>
              </w:rPr>
              <w:t xml:space="preserve"> </w:t>
            </w:r>
            <w:sdt>
              <w:sdtPr>
                <w:rPr>
                  <w:b/>
                  <w:bCs/>
                  <w:noProof w:val="0"/>
                  <w:sz w:val="28"/>
                  <w:rtl/>
                </w:rPr>
                <w:alias w:val="2317"/>
                <w:tag w:val="2317"/>
                <w:id w:val="1321767079"/>
                <w:placeholder>
                  <w:docPart w:val="90CB0592753B4AC6859E9C2CFCDB7DBF"/>
                </w:placeholder>
                <w:text w:multiLine="1"/>
              </w:sdtPr>
              <w:sdtEndPr/>
              <w:sdtContent>
                <w:r w:rsidR="007E0B20">
                  <w:rPr>
                    <w:b/>
                    <w:bCs/>
                    <w:noProof w:val="0"/>
                    <w:sz w:val="28"/>
                    <w:rtl/>
                  </w:rPr>
                  <w:t>ת"ז</w:t>
                </w:r>
              </w:sdtContent>
            </w:sdt>
            <w:r w:rsidR="007E0B20">
              <w:rPr>
                <w:b/>
                <w:bCs/>
                <w:noProof w:val="0"/>
                <w:sz w:val="28"/>
                <w:rtl/>
              </w:rPr>
              <w:t xml:space="preserve"> </w:t>
            </w:r>
            <w:r w:rsidR="00F41625">
              <w:rPr>
                <w:rFonts w:hint="cs"/>
              </w:rPr>
              <w:t>XXX</w:t>
            </w:r>
            <w:r w:rsidR="007E0B20">
              <w:rPr>
                <w:rtl/>
              </w:rPr>
              <w:t xml:space="preserve"> </w:t>
            </w:r>
            <w:r w:rsidR="007E0B20">
              <w:rPr>
                <w:rFonts w:ascii="Arial" w:hAnsi="Arial"/>
                <w:b/>
                <w:bCs/>
                <w:noProof w:val="0"/>
                <w:sz w:val="26"/>
                <w:szCs w:val="26"/>
                <w:rtl/>
              </w:rPr>
              <w:t>- בעצמו</w:t>
            </w:r>
          </w:p>
        </w:tc>
      </w:tr>
    </w:tbl>
    <w:p w:rsidR="007E0B20" w:rsidRDefault="007E0B20" w:rsidP="007E0B20">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E0B20" w:rsidTr="007E0B20">
        <w:trPr>
          <w:jc w:val="center"/>
        </w:trPr>
        <w:tc>
          <w:tcPr>
            <w:tcW w:w="8820" w:type="dxa"/>
            <w:hideMark/>
          </w:tcPr>
          <w:p w:rsidR="007E0B20" w:rsidRDefault="007E0B20">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7E0B20" w:rsidRDefault="007E0B20" w:rsidP="007E0B20">
      <w:pPr>
        <w:spacing w:line="360" w:lineRule="auto"/>
        <w:jc w:val="both"/>
        <w:rPr>
          <w:rFonts w:ascii="Arial" w:hAnsi="Arial"/>
          <w:noProof w:val="0"/>
        </w:rPr>
      </w:pPr>
    </w:p>
    <w:p w:rsidR="007E0B20" w:rsidRDefault="007E0B20" w:rsidP="007E0B20">
      <w:pPr>
        <w:spacing w:line="360" w:lineRule="auto"/>
        <w:jc w:val="both"/>
        <w:rPr>
          <w:rtl/>
        </w:rPr>
      </w:pPr>
    </w:p>
    <w:p w:rsidR="007E0B20" w:rsidRDefault="007E0B20" w:rsidP="007E0B20">
      <w:pPr>
        <w:pStyle w:val="ac"/>
        <w:numPr>
          <w:ilvl w:val="0"/>
          <w:numId w:val="6"/>
        </w:numPr>
        <w:spacing w:after="160" w:line="360" w:lineRule="auto"/>
        <w:jc w:val="both"/>
        <w:rPr>
          <w:rFonts w:ascii="David" w:hAnsi="David"/>
          <w:rtl/>
        </w:rPr>
      </w:pPr>
      <w:r>
        <w:rPr>
          <w:rFonts w:ascii="David" w:hAnsi="David"/>
          <w:rtl/>
        </w:rPr>
        <w:t xml:space="preserve">ערעור על החלטות כבוד רשמת ההוצאה לפועל במחוז המרכז מימים 9.7.23 ו-21.12.23, שניתנו בגדריו של הליך אכיפה שנפתח על פי </w:t>
      </w:r>
      <w:r>
        <w:rPr>
          <w:rFonts w:ascii="David" w:hAnsi="David"/>
          <w:b/>
          <w:bCs/>
          <w:rtl/>
        </w:rPr>
        <w:t>חוק המזונות (הבטחת תשלום), התשל"ב-1972</w:t>
      </w:r>
      <w:r>
        <w:rPr>
          <w:rFonts w:ascii="David" w:hAnsi="David"/>
          <w:rtl/>
        </w:rPr>
        <w:t xml:space="preserve"> במסגרת תיק פרטני מספר 514421-09-22 (להלן: </w:t>
      </w:r>
      <w:r>
        <w:rPr>
          <w:rFonts w:ascii="David" w:hAnsi="David"/>
          <w:b/>
          <w:bCs/>
          <w:rtl/>
        </w:rPr>
        <w:t xml:space="preserve">"ההחלטה הראשונה", "ההחלטה השנייה" </w:t>
      </w:r>
      <w:r>
        <w:rPr>
          <w:rFonts w:ascii="David" w:hAnsi="David"/>
          <w:rtl/>
        </w:rPr>
        <w:t>ו"</w:t>
      </w:r>
      <w:r>
        <w:rPr>
          <w:rFonts w:ascii="David" w:hAnsi="David"/>
          <w:b/>
          <w:bCs/>
          <w:rtl/>
        </w:rPr>
        <w:t>התיק"</w:t>
      </w:r>
      <w:r>
        <w:rPr>
          <w:rFonts w:ascii="David" w:hAnsi="David"/>
          <w:rtl/>
        </w:rPr>
        <w:t>, בהתאמה).</w:t>
      </w:r>
    </w:p>
    <w:p w:rsidR="007E0B20" w:rsidRDefault="007E0B20" w:rsidP="007E0B20">
      <w:pPr>
        <w:pStyle w:val="ac"/>
        <w:spacing w:line="360" w:lineRule="auto"/>
        <w:jc w:val="both"/>
        <w:rPr>
          <w:rFonts w:ascii="David" w:hAnsi="David"/>
        </w:rPr>
      </w:pPr>
    </w:p>
    <w:p w:rsidR="007E0B20" w:rsidRDefault="007E0B20" w:rsidP="007E0B20">
      <w:pPr>
        <w:pStyle w:val="ac"/>
        <w:numPr>
          <w:ilvl w:val="0"/>
          <w:numId w:val="6"/>
        </w:numPr>
        <w:spacing w:after="160" w:line="360" w:lineRule="auto"/>
        <w:jc w:val="both"/>
        <w:rPr>
          <w:rFonts w:ascii="David" w:hAnsi="David"/>
          <w:rtl/>
        </w:rPr>
      </w:pPr>
      <w:r>
        <w:rPr>
          <w:rFonts w:ascii="David" w:hAnsi="David"/>
          <w:rtl/>
        </w:rPr>
        <w:t>בבסיס הליך האכיפה פסק דין למזונות שניתן ביום 17.2.16, בתמ"ש 28273-04-15.</w:t>
      </w:r>
    </w:p>
    <w:p w:rsidR="007E0B20" w:rsidRDefault="007E0B20" w:rsidP="007E0B20">
      <w:pPr>
        <w:pStyle w:val="ac"/>
        <w:spacing w:line="360" w:lineRule="auto"/>
        <w:jc w:val="both"/>
        <w:rPr>
          <w:rFonts w:ascii="David" w:hAnsi="David"/>
        </w:rPr>
      </w:pPr>
      <w:r>
        <w:rPr>
          <w:rFonts w:ascii="David" w:hAnsi="David"/>
          <w:rtl/>
        </w:rPr>
        <w:t>המערער שילם לזוכה על פי פסק הדין תשלומים עתיים, ובהתאם הגיש את הליך האכיפה נושא הערעור שלפניי, משנכנס בנעליו של החייב במזונות.</w:t>
      </w:r>
    </w:p>
    <w:p w:rsidR="007E0B20" w:rsidRDefault="007E0B20" w:rsidP="007E0B20">
      <w:pPr>
        <w:pStyle w:val="ac"/>
        <w:spacing w:line="360" w:lineRule="auto"/>
        <w:jc w:val="both"/>
        <w:rPr>
          <w:rFonts w:ascii="David" w:hAnsi="David"/>
          <w:rtl/>
        </w:rPr>
      </w:pPr>
    </w:p>
    <w:p w:rsidR="007E0B20" w:rsidRDefault="007E0B20" w:rsidP="007E0B20">
      <w:pPr>
        <w:pStyle w:val="ac"/>
        <w:numPr>
          <w:ilvl w:val="0"/>
          <w:numId w:val="6"/>
        </w:numPr>
        <w:spacing w:after="160" w:line="360" w:lineRule="auto"/>
        <w:jc w:val="both"/>
        <w:rPr>
          <w:rFonts w:ascii="David" w:hAnsi="David"/>
          <w:rtl/>
        </w:rPr>
      </w:pPr>
      <w:r>
        <w:rPr>
          <w:rFonts w:ascii="David" w:hAnsi="David"/>
          <w:b/>
          <w:bCs/>
          <w:rtl/>
        </w:rPr>
        <w:t>ההחלטה הראשונה</w:t>
      </w:r>
      <w:r>
        <w:rPr>
          <w:rFonts w:ascii="David" w:hAnsi="David"/>
          <w:rtl/>
        </w:rPr>
        <w:t>, שלגביה טוען המערער כי נודע לו על אודותיה רק ביום 20.12.23, היא החלטה שהורתה לבקשת מזכירות לשכת ההוצאה לפועל על הפחתת סך של 119,709 ₪, וזאת מקום בו על פי מזכירות לשכת ההוצאה לפועל מדובר על חיובים העולים על שנתיים. לבקשת המזכירות ניתנה ההחלטה "</w:t>
      </w:r>
      <w:r>
        <w:rPr>
          <w:rFonts w:ascii="David" w:hAnsi="David"/>
          <w:b/>
          <w:bCs/>
          <w:rtl/>
        </w:rPr>
        <w:t>כמבוקש</w:t>
      </w:r>
      <w:r>
        <w:rPr>
          <w:rFonts w:ascii="David" w:hAnsi="David"/>
          <w:rtl/>
        </w:rPr>
        <w:t>" (נספח א' להודעת הערעור).</w:t>
      </w:r>
    </w:p>
    <w:p w:rsidR="007E0B20" w:rsidRDefault="007E0B20" w:rsidP="007E0B20">
      <w:pPr>
        <w:pStyle w:val="ac"/>
        <w:spacing w:line="360" w:lineRule="auto"/>
        <w:jc w:val="both"/>
        <w:rPr>
          <w:rFonts w:ascii="David" w:hAnsi="David"/>
        </w:rPr>
      </w:pPr>
    </w:p>
    <w:p w:rsidR="007E0B20" w:rsidRDefault="007E0B20" w:rsidP="007E0B20">
      <w:pPr>
        <w:pStyle w:val="ac"/>
        <w:numPr>
          <w:ilvl w:val="0"/>
          <w:numId w:val="6"/>
        </w:numPr>
        <w:spacing w:after="160" w:line="360" w:lineRule="auto"/>
        <w:jc w:val="both"/>
        <w:rPr>
          <w:rFonts w:ascii="David" w:hAnsi="David"/>
          <w:rtl/>
        </w:rPr>
      </w:pPr>
      <w:r>
        <w:rPr>
          <w:rFonts w:ascii="David" w:hAnsi="David"/>
          <w:rtl/>
        </w:rPr>
        <w:t>ביום 20.12.23 הגיש המערער בקשה לעיון מחדש בהחלטה הראשונה תוך שהלין על נתינתה מבלי שנומקה כדבעי ומבלי שניתנה לו זכות טיעון, כמו גם טען טענות לגופן על עצם הפעולות בתיק המצדיקות לשיטתו הותרת סכום החוב על כנו (נספח ז' לכתב הערעור).</w:t>
      </w:r>
    </w:p>
    <w:p w:rsidR="007E0B20" w:rsidRDefault="007E0B20" w:rsidP="007E0B20">
      <w:pPr>
        <w:pStyle w:val="ac"/>
        <w:rPr>
          <w:rFonts w:ascii="David" w:hAnsi="David"/>
        </w:rPr>
      </w:pPr>
    </w:p>
    <w:p w:rsidR="007E0B20" w:rsidRDefault="007E0B20" w:rsidP="007E0B20">
      <w:pPr>
        <w:pStyle w:val="ac"/>
        <w:rPr>
          <w:rFonts w:ascii="David" w:hAnsi="David"/>
          <w:rtl/>
        </w:rPr>
      </w:pPr>
    </w:p>
    <w:p w:rsidR="007E0B20" w:rsidRDefault="007E0B20" w:rsidP="007E0B20">
      <w:pPr>
        <w:pStyle w:val="ac"/>
        <w:rPr>
          <w:rFonts w:ascii="David" w:hAnsi="David"/>
          <w:rtl/>
        </w:rPr>
      </w:pPr>
    </w:p>
    <w:p w:rsidR="007E0B20" w:rsidRDefault="007E0B20" w:rsidP="007E0B20">
      <w:pPr>
        <w:pStyle w:val="ac"/>
        <w:rPr>
          <w:rFonts w:ascii="David" w:hAnsi="David"/>
          <w:rtl/>
        </w:rPr>
      </w:pPr>
    </w:p>
    <w:p w:rsidR="007E0B20" w:rsidRDefault="007E0B20" w:rsidP="007E0B20">
      <w:pPr>
        <w:pStyle w:val="ac"/>
        <w:rPr>
          <w:rFonts w:ascii="David" w:hAnsi="David"/>
          <w:rtl/>
        </w:rPr>
      </w:pPr>
    </w:p>
    <w:p w:rsidR="007E0B20" w:rsidRDefault="007E0B20" w:rsidP="007E0B20">
      <w:pPr>
        <w:pStyle w:val="ac"/>
        <w:rPr>
          <w:rFonts w:ascii="David" w:hAnsi="David"/>
          <w:rtl/>
        </w:rPr>
      </w:pPr>
    </w:p>
    <w:p w:rsidR="007E0B20" w:rsidRDefault="007E0B20" w:rsidP="007E0B20">
      <w:pPr>
        <w:pStyle w:val="ac"/>
        <w:numPr>
          <w:ilvl w:val="0"/>
          <w:numId w:val="6"/>
        </w:numPr>
        <w:spacing w:after="160" w:line="360" w:lineRule="auto"/>
        <w:jc w:val="both"/>
        <w:rPr>
          <w:rFonts w:ascii="David" w:hAnsi="David"/>
          <w:rtl/>
        </w:rPr>
      </w:pPr>
      <w:r>
        <w:rPr>
          <w:rFonts w:ascii="David" w:hAnsi="David"/>
          <w:b/>
          <w:bCs/>
          <w:rtl/>
        </w:rPr>
        <w:lastRenderedPageBreak/>
        <w:t>ההחלטה השנייה</w:t>
      </w:r>
      <w:r>
        <w:rPr>
          <w:rFonts w:ascii="David" w:hAnsi="David"/>
          <w:rtl/>
        </w:rPr>
        <w:t xml:space="preserve"> ניתנה ביום 21.12.23 . העמוד שבו ניתנה ההחלטה איזכר את התייחסות מזכירות ההוצאה לפועל, כפי הנראה לבקשה שהגיש המערער לעיון מחדש. בחלק שבו נזכרה התייחסות המזכירות הובהר כי נערכה ביקורת בלשכת ההוצאה לפועל שבעקבותיה הועברה בקשת המזכירות לכבוד הרשמת מאחר ש"...</w:t>
      </w:r>
      <w:r>
        <w:rPr>
          <w:rFonts w:ascii="David" w:hAnsi="David"/>
          <w:b/>
          <w:bCs/>
          <w:rtl/>
        </w:rPr>
        <w:t>גיל החוב מעל שנתיים מבלי שצורפה החלטת בית משפט המאשרת גבייתו</w:t>
      </w:r>
      <w:r>
        <w:rPr>
          <w:rFonts w:ascii="David" w:hAnsi="David"/>
          <w:rtl/>
        </w:rPr>
        <w:t xml:space="preserve">...". </w:t>
      </w:r>
    </w:p>
    <w:p w:rsidR="007E0B20" w:rsidRDefault="007E0B20" w:rsidP="007E0B20">
      <w:pPr>
        <w:pStyle w:val="ac"/>
        <w:spacing w:line="360" w:lineRule="auto"/>
        <w:jc w:val="both"/>
        <w:rPr>
          <w:rFonts w:ascii="David" w:hAnsi="David"/>
          <w:b/>
          <w:bCs/>
        </w:rPr>
      </w:pPr>
    </w:p>
    <w:p w:rsidR="007E0B20" w:rsidRDefault="007E0B20" w:rsidP="007E0B20">
      <w:pPr>
        <w:pStyle w:val="ac"/>
        <w:spacing w:line="360" w:lineRule="auto"/>
        <w:jc w:val="both"/>
        <w:rPr>
          <w:rFonts w:ascii="David" w:hAnsi="David"/>
          <w:rtl/>
        </w:rPr>
      </w:pPr>
      <w:r>
        <w:rPr>
          <w:rFonts w:ascii="David" w:hAnsi="David"/>
          <w:rtl/>
        </w:rPr>
        <w:t>נוכח התייחסות זו מטעם מזכירות לשכת ההוצאה לפועל ניתנה ההחלטה השנייה בזו הלשון "</w:t>
      </w:r>
      <w:r>
        <w:rPr>
          <w:rFonts w:ascii="David" w:hAnsi="David"/>
          <w:b/>
          <w:bCs/>
          <w:rtl/>
        </w:rPr>
        <w:t>להעביר העתק למל"ל</w:t>
      </w:r>
      <w:r>
        <w:rPr>
          <w:rFonts w:ascii="David" w:hAnsi="David"/>
          <w:rtl/>
        </w:rPr>
        <w:t xml:space="preserve">" (נספח ב' להודעת הערעור). </w:t>
      </w:r>
    </w:p>
    <w:p w:rsidR="007E0B20" w:rsidRDefault="007E0B20" w:rsidP="007E0B20">
      <w:pPr>
        <w:pStyle w:val="ac"/>
        <w:spacing w:line="360" w:lineRule="auto"/>
        <w:jc w:val="both"/>
        <w:rPr>
          <w:rFonts w:ascii="David" w:hAnsi="David"/>
        </w:rPr>
      </w:pPr>
    </w:p>
    <w:p w:rsidR="007E0B20" w:rsidRDefault="007E0B20" w:rsidP="007E0B20">
      <w:pPr>
        <w:pStyle w:val="ac"/>
        <w:numPr>
          <w:ilvl w:val="0"/>
          <w:numId w:val="6"/>
        </w:numPr>
        <w:spacing w:after="160" w:line="360" w:lineRule="auto"/>
        <w:jc w:val="both"/>
        <w:rPr>
          <w:rFonts w:ascii="David" w:hAnsi="David"/>
          <w:rtl/>
        </w:rPr>
      </w:pPr>
      <w:r>
        <w:rPr>
          <w:rFonts w:ascii="David" w:hAnsi="David"/>
          <w:rtl/>
        </w:rPr>
        <w:t xml:space="preserve">קיימתי ביום 18.6.24 דיון בערעור ובו המשיב - חייב המזונות - הבהיר שרק באותו הבוקר הומצא לו כתב הערעור. המשיב אף טען שהוא מצוי בהליך חדלות פירעון בלשכת ההוצאה לפועל לדבריו. הצפתי בפני הצדדים את סימני השאלה הנובעים לכל הפחות מאופן מתן והנמקת ההחלטה השנייה וניתנה גם למשיב אפשרות להגיש תשובה לערעור, תוך שיבהיר האם מבוקש לקיים דיון מחודש בו, ובפרט האם לשיטתו יש מניעה מהשבת הדיון לכבוד הרשמת בכל הנוגע לשאלת הפחתת החוב. </w:t>
      </w:r>
    </w:p>
    <w:p w:rsidR="007E0B20" w:rsidRDefault="007E0B20" w:rsidP="007E0B20">
      <w:pPr>
        <w:pStyle w:val="ac"/>
        <w:spacing w:line="360" w:lineRule="auto"/>
        <w:jc w:val="both"/>
        <w:rPr>
          <w:rFonts w:ascii="David" w:hAnsi="David"/>
        </w:rPr>
      </w:pPr>
    </w:p>
    <w:p w:rsidR="007E0B20" w:rsidRDefault="007E0B20" w:rsidP="007E0B20">
      <w:pPr>
        <w:pStyle w:val="ac"/>
        <w:numPr>
          <w:ilvl w:val="0"/>
          <w:numId w:val="6"/>
        </w:numPr>
        <w:spacing w:after="160" w:line="360" w:lineRule="auto"/>
        <w:jc w:val="both"/>
        <w:rPr>
          <w:rFonts w:ascii="David" w:hAnsi="David"/>
          <w:rtl/>
        </w:rPr>
      </w:pPr>
      <w:r>
        <w:rPr>
          <w:rFonts w:ascii="David" w:hAnsi="David"/>
          <w:rtl/>
        </w:rPr>
        <w:t>המשיב הבהיר כי לשיטתו הוא איננו צד בעניין מאחר שהגיע להסכם פריסת חובות בלשכת ההוצאה לפועל, אולם הבהיר כי אין הוא מתנגד להשיב את הדיון ללשכת ההוצאה לפועל. המערער הבהיר בהודעתו מיום 26.7.24 כי לדידו ניתן להכריע בערעור גם לגופו, אולם אינו מתנגד להשיב את הדיון לרשמת ההוצאה לפועל.</w:t>
      </w:r>
    </w:p>
    <w:p w:rsidR="007E0B20" w:rsidRDefault="007E0B20" w:rsidP="007E0B20">
      <w:pPr>
        <w:pStyle w:val="ac"/>
        <w:rPr>
          <w:rFonts w:ascii="David" w:hAnsi="David"/>
        </w:rPr>
      </w:pPr>
    </w:p>
    <w:p w:rsidR="007E0B20" w:rsidRDefault="007E0B20" w:rsidP="007E0B20">
      <w:pPr>
        <w:pStyle w:val="ac"/>
        <w:numPr>
          <w:ilvl w:val="0"/>
          <w:numId w:val="6"/>
        </w:numPr>
        <w:spacing w:after="160" w:line="360" w:lineRule="auto"/>
        <w:jc w:val="both"/>
        <w:rPr>
          <w:rFonts w:ascii="David" w:hAnsi="David"/>
          <w:rtl/>
        </w:rPr>
      </w:pPr>
      <w:r>
        <w:rPr>
          <w:rFonts w:ascii="David" w:hAnsi="David"/>
          <w:rtl/>
        </w:rPr>
        <w:t xml:space="preserve">לאחר שעיינתי במצוי בתיק ושמעתי גם את הצדדים בדיון לפניי, שוכנעתי שיש מקום לקבל את הערעור וכפועל יוצא להשיב את הדיון לכבוד רשמת ההוצאה לפועל, על מנת שתערוך דיון מחודש בשאלה האם אמנם יש מקום לבצע את הפחתת החוב מושא ההחלטה הראשונה, אם לאו. </w:t>
      </w:r>
    </w:p>
    <w:p w:rsidR="007E0B20" w:rsidRDefault="007E0B20" w:rsidP="007E0B20">
      <w:pPr>
        <w:pStyle w:val="ac"/>
        <w:rPr>
          <w:rFonts w:ascii="David" w:hAnsi="David"/>
        </w:rPr>
      </w:pPr>
    </w:p>
    <w:p w:rsidR="007E0B20" w:rsidRDefault="007E0B20" w:rsidP="007E0B20">
      <w:pPr>
        <w:pStyle w:val="ac"/>
        <w:numPr>
          <w:ilvl w:val="0"/>
          <w:numId w:val="6"/>
        </w:numPr>
        <w:spacing w:after="160" w:line="360" w:lineRule="auto"/>
        <w:jc w:val="both"/>
        <w:rPr>
          <w:rFonts w:ascii="David" w:hAnsi="David"/>
          <w:rtl/>
        </w:rPr>
      </w:pPr>
      <w:r>
        <w:rPr>
          <w:rFonts w:ascii="David" w:hAnsi="David"/>
          <w:rtl/>
        </w:rPr>
        <w:t xml:space="preserve">גם לו אניח כי לפניי אך ערעור על ההחלטה השנייה (שכן לא ראיתי כל עיקר האם ומכוח מה אומנם לא הומצאה למערער ההחלטה הראשונה), דומני שיש ממש לטענות המערער בכל הקשור עם הנמקתה של ההחלטה השנייה והעובדה שבהחלטה זו למעשה לא הובאה כל התייחסות ללוז טיעוניו של המערער, כפי שהובאו בבקשה לעיון מחדש. </w:t>
      </w:r>
    </w:p>
    <w:p w:rsidR="007E0B20" w:rsidRDefault="007E0B20" w:rsidP="007E0B20">
      <w:pPr>
        <w:pStyle w:val="ac"/>
        <w:rPr>
          <w:rFonts w:ascii="David" w:hAnsi="David"/>
        </w:rPr>
      </w:pPr>
    </w:p>
    <w:p w:rsidR="007E0B20" w:rsidRDefault="007E0B20" w:rsidP="007E0B20">
      <w:pPr>
        <w:pStyle w:val="ac"/>
        <w:spacing w:line="360" w:lineRule="auto"/>
        <w:jc w:val="both"/>
        <w:rPr>
          <w:rFonts w:ascii="David" w:hAnsi="David"/>
          <w:rtl/>
        </w:rPr>
      </w:pPr>
      <w:r>
        <w:rPr>
          <w:rFonts w:ascii="David" w:hAnsi="David"/>
          <w:rtl/>
        </w:rPr>
        <w:t xml:space="preserve">משהוגשה בקשה מנומקת על ידי המערער לעיון מחדש בהחלטה הראשונה מצופה היה שכבוד רשמת ההוצאה לפועל תכריע בה לגופה. זאת, במיוחד מקום בו חלק מאדני הבקשה הנ"ל נסובו על אי מתן זכות טיעון למערער בטרם הופחת החוב, ועל הנמקה חסרה של ההחלטה הראשונה. </w:t>
      </w:r>
    </w:p>
    <w:p w:rsidR="007E0B20" w:rsidRDefault="007E0B20" w:rsidP="007E0B20">
      <w:pPr>
        <w:pStyle w:val="ac"/>
        <w:spacing w:line="360" w:lineRule="auto"/>
        <w:jc w:val="both"/>
        <w:rPr>
          <w:rFonts w:ascii="David" w:hAnsi="David"/>
          <w:rtl/>
        </w:rPr>
      </w:pPr>
    </w:p>
    <w:p w:rsidR="007E0B20" w:rsidRDefault="007E0B20" w:rsidP="007E0B20">
      <w:pPr>
        <w:pStyle w:val="ac"/>
        <w:spacing w:line="360" w:lineRule="auto"/>
        <w:jc w:val="both"/>
        <w:rPr>
          <w:rFonts w:ascii="David" w:hAnsi="David"/>
          <w:rtl/>
        </w:rPr>
      </w:pPr>
      <w:r>
        <w:rPr>
          <w:rFonts w:ascii="David" w:hAnsi="David"/>
          <w:rtl/>
        </w:rPr>
        <w:t xml:space="preserve">אלא שגם ההחלטה השנייה לא נומקה כלל ולמעשה לא טמנה בחובה כל מסקנה או הוראה אופרטיבית. </w:t>
      </w:r>
    </w:p>
    <w:p w:rsidR="007E0B20" w:rsidRDefault="007E0B20" w:rsidP="007E0B20">
      <w:pPr>
        <w:pStyle w:val="ac"/>
        <w:spacing w:line="360" w:lineRule="auto"/>
        <w:jc w:val="both"/>
        <w:rPr>
          <w:rFonts w:ascii="David" w:hAnsi="David"/>
          <w:rtl/>
        </w:rPr>
      </w:pPr>
    </w:p>
    <w:p w:rsidR="007E0B20" w:rsidRDefault="007E0B20" w:rsidP="007E0B20">
      <w:pPr>
        <w:pStyle w:val="ac"/>
        <w:numPr>
          <w:ilvl w:val="0"/>
          <w:numId w:val="6"/>
        </w:numPr>
        <w:spacing w:after="160" w:line="360" w:lineRule="auto"/>
        <w:jc w:val="both"/>
        <w:rPr>
          <w:rFonts w:ascii="David" w:hAnsi="David"/>
        </w:rPr>
      </w:pPr>
      <w:r>
        <w:rPr>
          <w:rFonts w:ascii="David" w:hAnsi="David"/>
          <w:rtl/>
        </w:rPr>
        <w:t>כלל יסוד הוא שהחלטה של בעל תפקיד שיפוטי או מעין שיפוטי, גם כאשר הוא אך עושה שימוש בסמכויותיו המנהליות, צריכה להיות מנומקת ולו באופן שיובן ממנה פשרה. משלא נעשה כך, אין מנוס אלא מקבלת הערעור והשבת הדיון לכבוד הרשמת.</w:t>
      </w:r>
    </w:p>
    <w:p w:rsidR="007E0B20" w:rsidRDefault="007E0B20" w:rsidP="007E0B20">
      <w:pPr>
        <w:pStyle w:val="ac"/>
        <w:spacing w:line="360" w:lineRule="auto"/>
        <w:jc w:val="both"/>
        <w:rPr>
          <w:rFonts w:ascii="David" w:hAnsi="David"/>
        </w:rPr>
      </w:pPr>
    </w:p>
    <w:p w:rsidR="007E0B20" w:rsidRDefault="007E0B20" w:rsidP="007E0B20">
      <w:pPr>
        <w:pStyle w:val="ac"/>
        <w:numPr>
          <w:ilvl w:val="0"/>
          <w:numId w:val="6"/>
        </w:numPr>
        <w:spacing w:after="160" w:line="360" w:lineRule="auto"/>
        <w:jc w:val="both"/>
        <w:rPr>
          <w:rFonts w:ascii="David" w:hAnsi="David"/>
          <w:rtl/>
        </w:rPr>
      </w:pPr>
      <w:r>
        <w:rPr>
          <w:rFonts w:ascii="David" w:hAnsi="David"/>
          <w:rtl/>
        </w:rPr>
        <w:t xml:space="preserve">מסקנה זו מתחזקת מקום בו דומה לכאורה </w:t>
      </w:r>
      <w:r>
        <w:rPr>
          <w:rFonts w:ascii="David" w:hAnsi="David"/>
          <w:b/>
          <w:bCs/>
          <w:rtl/>
        </w:rPr>
        <w:t>שההחלטה השנייה</w:t>
      </w:r>
      <w:r>
        <w:rPr>
          <w:rFonts w:ascii="David" w:hAnsi="David"/>
          <w:rtl/>
        </w:rPr>
        <w:t xml:space="preserve"> לא נתנה משקל דה-פקטו לזכות הטיעון של המערער. משנה תוקף יש ליתן לזכות טיעון זו מקום בו חלק נכבד מטענות המערער בבקשה לעיון מחדש היו כי עוד בטרם ניתנה ההחלטה הראשונה, כלל לא ניתנה לו זכות טיעון בכל הנוגע להפחתת החוב המשמעותית שבוצעה מיוזמת לשכת ההוצאה לפועל.</w:t>
      </w:r>
    </w:p>
    <w:p w:rsidR="007E0B20" w:rsidRDefault="007E0B20" w:rsidP="007E0B20">
      <w:pPr>
        <w:pStyle w:val="ac"/>
        <w:rPr>
          <w:rFonts w:ascii="David" w:hAnsi="David"/>
        </w:rPr>
      </w:pPr>
    </w:p>
    <w:p w:rsidR="007E0B20" w:rsidRDefault="007E0B20" w:rsidP="007E0B20">
      <w:pPr>
        <w:pStyle w:val="ac"/>
        <w:spacing w:line="360" w:lineRule="auto"/>
        <w:jc w:val="both"/>
        <w:rPr>
          <w:rFonts w:ascii="David" w:hAnsi="David"/>
          <w:rtl/>
        </w:rPr>
      </w:pPr>
      <w:r>
        <w:rPr>
          <w:rFonts w:ascii="David" w:hAnsi="David"/>
          <w:rtl/>
        </w:rPr>
        <w:t>שכן כלל יסוד נוסף במשפט הישראלי הוא החובה ליתן זכות טיעון לכל מי שעלול להיפגע כתוצאה ממתן החלטה, וגם מטעם זה אין מנוס מהשבת הדיון  לכבוד הרשמת.</w:t>
      </w:r>
    </w:p>
    <w:p w:rsidR="007E0B20" w:rsidRDefault="007E0B20" w:rsidP="007E0B20">
      <w:pPr>
        <w:pStyle w:val="ac"/>
        <w:spacing w:line="360" w:lineRule="auto"/>
        <w:jc w:val="both"/>
        <w:rPr>
          <w:rFonts w:ascii="David" w:hAnsi="David"/>
          <w:rtl/>
        </w:rPr>
      </w:pPr>
    </w:p>
    <w:p w:rsidR="007E0B20" w:rsidRDefault="007E0B20" w:rsidP="007E0B20">
      <w:pPr>
        <w:pStyle w:val="ac"/>
        <w:numPr>
          <w:ilvl w:val="0"/>
          <w:numId w:val="6"/>
        </w:numPr>
        <w:spacing w:after="160" w:line="360" w:lineRule="auto"/>
        <w:jc w:val="both"/>
        <w:rPr>
          <w:rFonts w:ascii="David" w:hAnsi="David"/>
          <w:rtl/>
        </w:rPr>
      </w:pPr>
      <w:r>
        <w:rPr>
          <w:rFonts w:ascii="David" w:hAnsi="David"/>
          <w:rtl/>
        </w:rPr>
        <w:t>בנסיבות אלה, מקום בו מהחלטות כב' הרשמת עצמן (בין אם הראשונה ובין אם השנייה) לא ניתן להבין כדבעי מה היסוד להפחתת החוב והאם ובאיזו דרך החליטה כב' הרשמת ליתן משקל לטיעוניו של המערער לגופם, יש מקום לקבל את הערעור ולהורות על דיון מחודש בהפחתת החוב על ידי כב' רשמת ההוצאה לפועל. כפועל יוצא אני מורה כדלקמן:</w:t>
      </w:r>
    </w:p>
    <w:p w:rsidR="007E0B20" w:rsidRDefault="007E0B20" w:rsidP="007E0B20">
      <w:pPr>
        <w:pStyle w:val="ac"/>
        <w:spacing w:line="360" w:lineRule="auto"/>
        <w:jc w:val="both"/>
        <w:rPr>
          <w:rFonts w:ascii="David" w:hAnsi="David"/>
        </w:rPr>
      </w:pPr>
    </w:p>
    <w:p w:rsidR="007E0B20" w:rsidRDefault="007E0B20" w:rsidP="007E0B20">
      <w:pPr>
        <w:pStyle w:val="ac"/>
        <w:numPr>
          <w:ilvl w:val="0"/>
          <w:numId w:val="7"/>
        </w:numPr>
        <w:spacing w:after="160" w:line="360" w:lineRule="auto"/>
        <w:rPr>
          <w:rFonts w:ascii="David" w:hAnsi="David"/>
          <w:rtl/>
        </w:rPr>
      </w:pPr>
      <w:r>
        <w:rPr>
          <w:rFonts w:ascii="David" w:hAnsi="David"/>
          <w:rtl/>
        </w:rPr>
        <w:t>כבוד הרשמת תבחן מחדש את השאלה האם יש לבצע הפחתת חוב או לאו, תיתן זכות טיעון כהבנתה לכל מי שעלול להיפגע כתוצאה ממתן ההחלטה, ולאחר מכן תכריע כחכמתה בהחלטה מנומקת כדבעי.</w:t>
      </w:r>
    </w:p>
    <w:p w:rsidR="007E0B20" w:rsidRDefault="007E0B20" w:rsidP="007E0B20">
      <w:pPr>
        <w:pStyle w:val="ac"/>
        <w:numPr>
          <w:ilvl w:val="0"/>
          <w:numId w:val="7"/>
        </w:numPr>
        <w:spacing w:after="160" w:line="360" w:lineRule="auto"/>
        <w:jc w:val="both"/>
        <w:rPr>
          <w:rFonts w:ascii="David" w:hAnsi="David"/>
        </w:rPr>
      </w:pPr>
      <w:r>
        <w:rPr>
          <w:rFonts w:ascii="David" w:hAnsi="David"/>
          <w:rtl/>
        </w:rPr>
        <w:t xml:space="preserve">איני נדרש לנימוקי המערער לגופם של דברים, המצריכים ככלל הכרעה מנומקת לאחר שניתנה זכות טיעון לכל מי שעלול להיפגע כתוצאה ממתן אותה החלטה. </w:t>
      </w:r>
    </w:p>
    <w:p w:rsidR="007E0B20" w:rsidRDefault="007E0B20" w:rsidP="007E0B20">
      <w:pPr>
        <w:pStyle w:val="ac"/>
        <w:numPr>
          <w:ilvl w:val="0"/>
          <w:numId w:val="7"/>
        </w:numPr>
        <w:spacing w:after="160" w:line="360" w:lineRule="auto"/>
        <w:jc w:val="both"/>
        <w:rPr>
          <w:rFonts w:ascii="David" w:hAnsi="David"/>
        </w:rPr>
      </w:pPr>
      <w:r>
        <w:rPr>
          <w:rFonts w:ascii="David" w:hAnsi="David"/>
          <w:rtl/>
        </w:rPr>
        <w:t xml:space="preserve">משהמשיב עצמו לא התנגד לקבלת הערעור בדרך של השבת ההליך להכרעת כבוד רשמת ההוצאה לפועל, איני עושה צו להוצאות. </w:t>
      </w:r>
    </w:p>
    <w:p w:rsidR="007E0B20" w:rsidRDefault="007E0B20" w:rsidP="007E0B20">
      <w:pPr>
        <w:spacing w:line="360" w:lineRule="auto"/>
        <w:ind w:left="720"/>
        <w:jc w:val="both"/>
        <w:rPr>
          <w:rFonts w:ascii="David" w:hAnsi="David"/>
          <w:b/>
          <w:bCs/>
        </w:rPr>
      </w:pPr>
      <w:r>
        <w:rPr>
          <w:rFonts w:ascii="David" w:hAnsi="David"/>
          <w:b/>
          <w:bCs/>
          <w:rtl/>
        </w:rPr>
        <w:t xml:space="preserve">פסק הדין מותר בפרסום בהשמטת מלוא פרטי הצדדים ובני משפחתם. </w:t>
      </w:r>
      <w:r>
        <w:rPr>
          <w:rFonts w:ascii="David" w:hAnsi="David"/>
          <w:b/>
          <w:bCs/>
          <w:u w:val="single"/>
          <w:rtl/>
        </w:rPr>
        <w:t>המזכירות תמציא פסק הדין לצדדים כמו גם ללשכת ההוצאה לפועל ותסגור את התיק</w:t>
      </w:r>
      <w:r>
        <w:rPr>
          <w:rFonts w:ascii="David" w:hAnsi="David"/>
          <w:b/>
          <w:bCs/>
          <w:rtl/>
        </w:rPr>
        <w:t>.</w:t>
      </w:r>
    </w:p>
    <w:p w:rsidR="007E0B20" w:rsidRDefault="007E0B20" w:rsidP="007E0B20">
      <w:pPr>
        <w:spacing w:line="360" w:lineRule="auto"/>
        <w:ind w:firstLine="720"/>
        <w:jc w:val="both"/>
        <w:rPr>
          <w:rFonts w:ascii="Arial" w:hAnsi="Arial"/>
          <w:noProof w:val="0"/>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ב'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אוגוסט 2024</w:t>
          </w:r>
        </w:sdtContent>
      </w:sdt>
      <w:r>
        <w:rPr>
          <w:rFonts w:ascii="Arial" w:hAnsi="Arial"/>
          <w:noProof w:val="0"/>
          <w:rtl/>
        </w:rPr>
        <w:t>, בהעדר הצדדים.</w:t>
      </w:r>
    </w:p>
    <w:p w:rsidR="007E0B20" w:rsidRDefault="007E0B20" w:rsidP="007E0B20">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8BA41FDB753449B1B25CE01F23427145"/>
          </w:placeholder>
          <w:showingPlcHdr/>
          <w:text w:multiLine="1"/>
        </w:sdtPr>
        <w:sdtEndPr/>
        <w:sdtContent/>
      </w:sdt>
      <w:r>
        <w:rPr>
          <w:rFonts w:ascii="Arial" w:hAnsi="Arial"/>
          <w:noProof w:val="0"/>
          <w:rtl/>
        </w:rPr>
        <w:tab/>
      </w:r>
      <w:r>
        <w:rPr>
          <w:rFonts w:ascii="Arial" w:hAnsi="Arial"/>
          <w:noProof w:val="0"/>
          <w:rtl/>
        </w:rPr>
        <w:tab/>
        <w:t xml:space="preserve"> </w:t>
      </w:r>
    </w:p>
    <w:p w:rsidR="007E0B20" w:rsidRDefault="00B5611E" w:rsidP="007E0B20">
      <w:pPr>
        <w:spacing w:line="360" w:lineRule="auto"/>
        <w:ind w:left="3600" w:firstLine="720"/>
        <w:rPr>
          <w:rtl/>
        </w:rPr>
      </w:pPr>
      <w:sdt>
        <w:sdtPr>
          <w:rPr>
            <w:rtl/>
          </w:rPr>
          <w:alias w:val="MergeField"/>
          <w:tag w:val="1237"/>
          <w:id w:val="-1603332006"/>
        </w:sdtPr>
        <w:sdtEndPr/>
        <w:sdtContent>
          <w:r w:rsidR="007E0B20">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7E0B20" w:rsidRDefault="007E0B20" w:rsidP="007E0B20">
      <w:pPr>
        <w:spacing w:line="360" w:lineRule="auto"/>
        <w:ind w:left="3600" w:firstLine="720"/>
        <w:rPr>
          <w:rFonts w:ascii="Arial" w:hAnsi="Arial"/>
          <w:noProof w:val="0"/>
        </w:rPr>
      </w:pPr>
    </w:p>
    <w:p w:rsidR="007E0B20" w:rsidRDefault="007E0B20" w:rsidP="007E0B20">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11E" w:rsidRDefault="00B5611E" w:rsidP="00A30504">
      <w:r>
        <w:separator/>
      </w:r>
    </w:p>
  </w:endnote>
  <w:endnote w:type="continuationSeparator" w:id="0">
    <w:p w:rsidR="00B5611E" w:rsidRDefault="00B5611E"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CD63C2">
      <w:rPr>
        <w:rStyle w:val="a8"/>
        <w:rtl/>
      </w:rPr>
      <w:t>4</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CD63C2">
      <w:rPr>
        <w:rStyle w:val="a8"/>
        <w:rtl/>
      </w:rPr>
      <w:t>4</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11E" w:rsidRDefault="00B5611E" w:rsidP="00A30504">
      <w:r>
        <w:separator/>
      </w:r>
    </w:p>
  </w:footnote>
  <w:footnote w:type="continuationSeparator" w:id="0">
    <w:p w:rsidR="00B5611E" w:rsidRDefault="00B5611E"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505"/>
    </w:tblGrid>
    <w:tr w:rsidR="00330799" w:rsidTr="00F43693">
      <w:trPr>
        <w:trHeight w:val="670"/>
        <w:jc w:val="center"/>
      </w:trPr>
      <w:sdt>
        <w:sdtPr>
          <w:rPr>
            <w:rtl/>
          </w:rPr>
          <w:alias w:val="1174"/>
          <w:tag w:val="1174"/>
          <w:id w:val="-1775709220"/>
          <w:text/>
        </w:sdtPr>
        <w:sdtEndPr/>
        <w:sdtContent>
          <w:tc>
            <w:tcPr>
              <w:tcW w:w="8505" w:type="dxa"/>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bl>
  <w:p w:rsidR="007E0B20" w:rsidRDefault="00B5611E" w:rsidP="007E0B20">
    <w:pPr>
      <w:rPr>
        <w:b/>
        <w:bCs/>
        <w:noProof w:val="0"/>
        <w:sz w:val="26"/>
        <w:szCs w:val="26"/>
      </w:rPr>
    </w:pPr>
    <w:sdt>
      <w:sdtPr>
        <w:rPr>
          <w:b/>
          <w:bCs/>
          <w:noProof w:val="0"/>
          <w:sz w:val="26"/>
          <w:szCs w:val="26"/>
          <w:rtl/>
        </w:rPr>
        <w:alias w:val="1170"/>
        <w:tag w:val="1170"/>
        <w:id w:val="299038016"/>
        <w:text w:multiLine="1"/>
      </w:sdtPr>
      <w:sdtEndPr/>
      <w:sdtContent>
        <w:r w:rsidR="007E0B20">
          <w:rPr>
            <w:b/>
            <w:bCs/>
            <w:noProof w:val="0"/>
            <w:sz w:val="26"/>
            <w:szCs w:val="26"/>
            <w:rtl/>
          </w:rPr>
          <w:t>ע"ר</w:t>
        </w:r>
      </w:sdtContent>
    </w:sdt>
    <w:r w:rsidR="007E0B20">
      <w:rPr>
        <w:b/>
        <w:bCs/>
        <w:noProof w:val="0"/>
        <w:sz w:val="26"/>
        <w:szCs w:val="26"/>
        <w:rtl/>
      </w:rPr>
      <w:t xml:space="preserve"> </w:t>
    </w:r>
    <w:sdt>
      <w:sdtPr>
        <w:rPr>
          <w:b/>
          <w:bCs/>
          <w:noProof w:val="0"/>
          <w:sz w:val="26"/>
          <w:szCs w:val="26"/>
          <w:rtl/>
        </w:rPr>
        <w:alias w:val="1171"/>
        <w:tag w:val="1171"/>
        <w:id w:val="81650337"/>
        <w:text w:multiLine="1"/>
      </w:sdtPr>
      <w:sdtEndPr/>
      <w:sdtContent>
        <w:r w:rsidR="007E0B20">
          <w:rPr>
            <w:b/>
            <w:bCs/>
            <w:noProof w:val="0"/>
            <w:sz w:val="26"/>
            <w:szCs w:val="26"/>
            <w:rtl/>
          </w:rPr>
          <w:t>17031-01-24</w:t>
        </w:r>
      </w:sdtContent>
    </w:sdt>
    <w:r w:rsidR="007E0B20">
      <w:rPr>
        <w:b/>
        <w:bCs/>
        <w:noProof w:val="0"/>
        <w:sz w:val="26"/>
        <w:szCs w:val="26"/>
        <w:rtl/>
      </w:rPr>
      <w:t xml:space="preserve"> </w:t>
    </w:r>
    <w:sdt>
      <w:sdtPr>
        <w:rPr>
          <w:b/>
          <w:bCs/>
          <w:noProof w:val="0"/>
          <w:sz w:val="26"/>
          <w:szCs w:val="26"/>
          <w:rtl/>
        </w:rPr>
        <w:alias w:val="1172"/>
        <w:tag w:val="1172"/>
        <w:id w:val="-1742169342"/>
        <w:text w:multiLine="1"/>
      </w:sdtPr>
      <w:sdtEndPr/>
      <w:sdtContent>
        <w:r w:rsidR="00F41625">
          <w:rPr>
            <w:b/>
            <w:bCs/>
            <w:noProof w:val="0"/>
            <w:sz w:val="26"/>
            <w:szCs w:val="26"/>
            <w:rtl/>
          </w:rPr>
          <w:t>ביטוח לאומי המשרד הראשי נ' ב</w:t>
        </w:r>
        <w:r w:rsidR="00F41625">
          <w:rPr>
            <w:rFonts w:hint="cs"/>
            <w:b/>
            <w:bCs/>
            <w:noProof w:val="0"/>
            <w:sz w:val="26"/>
            <w:szCs w:val="26"/>
            <w:rtl/>
          </w:rPr>
          <w:t>'</w:t>
        </w:r>
      </w:sdtContent>
    </w:sdt>
  </w:p>
  <w:p w:rsidR="007E0B20" w:rsidRDefault="007E0B20" w:rsidP="007E0B20">
    <w:pPr>
      <w:rPr>
        <w:b/>
        <w:bCs/>
        <w:noProof w:val="0"/>
        <w:sz w:val="2"/>
        <w:szCs w:val="2"/>
        <w:rtl/>
      </w:rPr>
    </w:pPr>
  </w:p>
  <w:p w:rsidR="007E0B20" w:rsidRDefault="007E0B20" w:rsidP="007E0B20">
    <w:pPr>
      <w:rPr>
        <w:b/>
        <w:bCs/>
        <w:noProof w:val="0"/>
        <w:sz w:val="26"/>
        <w:szCs w:val="26"/>
        <w:rtl/>
      </w:rPr>
    </w:pPr>
    <w:r>
      <w:rPr>
        <w:b/>
        <w:bCs/>
        <w:noProof w:val="0"/>
        <w:sz w:val="26"/>
        <w:szCs w:val="26"/>
        <w:rtl/>
      </w:rPr>
      <w:t xml:space="preserve"> </w:t>
    </w:r>
  </w:p>
  <w:p w:rsidR="0000787B" w:rsidRPr="00330799" w:rsidRDefault="007E0B20" w:rsidP="007E0B20">
    <w:pPr>
      <w:rPr>
        <w:rFonts w:ascii="David" w:hAnsi="David"/>
        <w:noProof w:val="0"/>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r>
              <w:rPr>
                <w:sz w:val="20"/>
                <w:szCs w:val="20"/>
                <w:rtl/>
              </w:rPr>
              <w:t>5144210922</w:t>
            </w:r>
          </w:sdtContent>
        </w:sdt>
        <w:r>
          <w:rPr>
            <w:sz w:val="20"/>
            <w:szCs w:val="20"/>
            <w:rtl/>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15F0F76"/>
    <w:multiLevelType w:val="hybridMultilevel"/>
    <w:tmpl w:val="B5261F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0B5D2A"/>
    <w:multiLevelType w:val="hybridMultilevel"/>
    <w:tmpl w:val="BC127C54"/>
    <w:lvl w:ilvl="0" w:tplc="BB82F02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244A2"/>
    <w:rsid w:val="000E6940"/>
    <w:rsid w:val="00112F6C"/>
    <w:rsid w:val="00123396"/>
    <w:rsid w:val="001F032F"/>
    <w:rsid w:val="00204361"/>
    <w:rsid w:val="00310C88"/>
    <w:rsid w:val="00330799"/>
    <w:rsid w:val="00414D88"/>
    <w:rsid w:val="004204FE"/>
    <w:rsid w:val="00487C9F"/>
    <w:rsid w:val="005C7A13"/>
    <w:rsid w:val="00671EB3"/>
    <w:rsid w:val="006A10DE"/>
    <w:rsid w:val="006A164E"/>
    <w:rsid w:val="0075045D"/>
    <w:rsid w:val="007E0B20"/>
    <w:rsid w:val="00832ED3"/>
    <w:rsid w:val="00A30504"/>
    <w:rsid w:val="00B5611E"/>
    <w:rsid w:val="00BA4E7D"/>
    <w:rsid w:val="00C1241C"/>
    <w:rsid w:val="00C827A6"/>
    <w:rsid w:val="00CB1E7A"/>
    <w:rsid w:val="00CD63C2"/>
    <w:rsid w:val="00D62C22"/>
    <w:rsid w:val="00D76B8C"/>
    <w:rsid w:val="00DF1F3E"/>
    <w:rsid w:val="00E44517"/>
    <w:rsid w:val="00EF7B09"/>
    <w:rsid w:val="00F41625"/>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221864">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250773129">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CB0592753B4AC6859E9C2CFCDB7DBF"/>
        <w:category>
          <w:name w:val="כללי"/>
          <w:gallery w:val="placeholder"/>
        </w:category>
        <w:types>
          <w:type w:val="bbPlcHdr"/>
        </w:types>
        <w:behaviors>
          <w:behavior w:val="content"/>
        </w:behaviors>
        <w:guid w:val="{9ECB55BF-A330-4433-8963-A81E321DEBD6}"/>
      </w:docPartPr>
      <w:docPartBody>
        <w:p w:rsidR="00725875" w:rsidRDefault="008F2C8D" w:rsidP="008F2C8D">
          <w:pPr>
            <w:pStyle w:val="90CB0592753B4AC6859E9C2CFCDB7DBF"/>
          </w:pPr>
          <w:r>
            <w:rPr>
              <w:b/>
              <w:bCs/>
              <w:sz w:val="28"/>
              <w:rtl/>
            </w:rPr>
            <w:t>סוג זיהוי צד ב'</w:t>
          </w:r>
        </w:p>
      </w:docPartBody>
    </w:docPart>
    <w:docPart>
      <w:docPartPr>
        <w:name w:val="8BA41FDB753449B1B25CE01F23427145"/>
        <w:category>
          <w:name w:val="כללי"/>
          <w:gallery w:val="placeholder"/>
        </w:category>
        <w:types>
          <w:type w:val="bbPlcHdr"/>
        </w:types>
        <w:behaviors>
          <w:behavior w:val="content"/>
        </w:behaviors>
        <w:guid w:val="{F5C2E482-D50A-4456-B5A4-693DFA30050A}"/>
      </w:docPartPr>
      <w:docPartBody>
        <w:p w:rsidR="00725875" w:rsidRDefault="008F2C8D" w:rsidP="008F2C8D">
          <w:pPr>
            <w:pStyle w:val="8BA41FDB753449B1B25CE01F23427145"/>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567357"/>
    <w:rsid w:val="005847CA"/>
    <w:rsid w:val="00725875"/>
    <w:rsid w:val="008F2C8D"/>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8F2C8D"/>
  </w:style>
  <w:style w:type="paragraph" w:customStyle="1" w:styleId="AA84A2823C0B45FBAD1A35D5ED710CA8">
    <w:name w:val="AA84A2823C0B45FBAD1A35D5ED710CA8"/>
    <w:rsid w:val="00F94841"/>
    <w:pPr>
      <w:bidi/>
    </w:pPr>
  </w:style>
  <w:style w:type="paragraph" w:customStyle="1" w:styleId="90CB0592753B4AC6859E9C2CFCDB7DBF">
    <w:name w:val="90CB0592753B4AC6859E9C2CFCDB7DBF"/>
    <w:rsid w:val="008F2C8D"/>
    <w:pPr>
      <w:bidi/>
    </w:pPr>
  </w:style>
  <w:style w:type="paragraph" w:customStyle="1" w:styleId="68F4D159417B48DEB31CAF9BA85609FB">
    <w:name w:val="68F4D159417B48DEB31CAF9BA85609FB"/>
    <w:rsid w:val="008F2C8D"/>
    <w:pPr>
      <w:bidi/>
    </w:pPr>
  </w:style>
  <w:style w:type="paragraph" w:customStyle="1" w:styleId="8BA41FDB753449B1B25CE01F23427145">
    <w:name w:val="8BA41FDB753449B1B25CE01F23427145"/>
    <w:rsid w:val="008F2C8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789</Words>
  <Characters>3949</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2024-08-18T06:07:00Z</dcterms:created>
  <dcterms:modified xsi:type="dcterms:W3CDTF">2024-08-18T06:07:00Z</dcterms:modified>
</cp:coreProperties>
</file>